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color w:val="000000"/>
          <w:sz w:val="28"/>
          <w:szCs w:val="28"/>
        </w:rPr>
        <w:t>南京师范大学地理科学</w:t>
      </w:r>
      <w:r>
        <w:rPr>
          <w:rFonts w:ascii="仿宋" w:eastAsia="仿宋" w:hAnsi="仿宋" w:hint="eastAsia"/>
          <w:b/>
          <w:bCs/>
          <w:sz w:val="28"/>
          <w:szCs w:val="28"/>
        </w:rPr>
        <w:t>学院202</w:t>
      </w:r>
      <w:r>
        <w:rPr>
          <w:rFonts w:ascii="仿宋" w:eastAsia="仿宋" w:hAnsi="仿宋"/>
          <w:b/>
          <w:bCs/>
          <w:sz w:val="28"/>
          <w:szCs w:val="28"/>
        </w:rPr>
        <w:t>1</w:t>
      </w:r>
      <w:r>
        <w:rPr>
          <w:rFonts w:ascii="仿宋" w:eastAsia="仿宋" w:hAnsi="仿宋" w:hint="eastAsia"/>
          <w:b/>
          <w:bCs/>
          <w:sz w:val="28"/>
          <w:szCs w:val="28"/>
        </w:rPr>
        <w:t>年硕士研究生复试录取工作办法</w:t>
      </w:r>
    </w:p>
    <w:p>
      <w:pPr>
        <w:rPr>
          <w:rFonts w:ascii="仿宋" w:eastAsia="仿宋" w:hAnsi="仿宋"/>
        </w:rPr>
      </w:pPr>
    </w:p>
    <w:p>
      <w:pPr>
        <w:pStyle w:val="ac"/>
        <w:widowControl/>
        <w:spacing w:before="0" w:beforeAutospacing="0" w:after="0" w:afterAutospacing="0" w:line="360" w:lineRule="exact"/>
        <w:ind w:firstLineChars="200" w:firstLine="480"/>
        <w:rPr>
          <w:rFonts w:ascii="仿宋" w:eastAsia="仿宋" w:hAnsi="仿宋"/>
          <w:color w:val="000000"/>
        </w:rPr>
      </w:pPr>
      <w:r>
        <w:rPr>
          <w:rFonts w:ascii="仿宋" w:eastAsia="仿宋" w:hAnsi="仿宋" w:hint="eastAsia"/>
          <w:color w:val="000000"/>
        </w:rPr>
        <w:t>为确保我院研究生复试工作安全、规范、有序进行，根据教育部、江苏省教育厅和南京师范大学202</w:t>
      </w:r>
      <w:r>
        <w:rPr>
          <w:rFonts w:ascii="仿宋" w:eastAsia="仿宋" w:hAnsi="仿宋"/>
          <w:color w:val="000000"/>
        </w:rPr>
        <w:t>1</w:t>
      </w:r>
      <w:r>
        <w:rPr>
          <w:rFonts w:ascii="仿宋" w:eastAsia="仿宋" w:hAnsi="仿宋" w:hint="eastAsia"/>
          <w:color w:val="000000"/>
        </w:rPr>
        <w:t>年研究生招生相关文件要求，结合我院实际情况，特制定本办法。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2"/>
        <w:rPr>
          <w:rFonts w:ascii="仿宋" w:eastAsia="仿宋" w:hAnsi="仿宋"/>
          <w:b/>
          <w:bCs/>
          <w:color w:val="000000"/>
        </w:rPr>
      </w:pPr>
      <w:r>
        <w:rPr>
          <w:rFonts w:ascii="仿宋" w:eastAsia="仿宋" w:hAnsi="仿宋" w:hint="eastAsia"/>
          <w:b/>
          <w:bCs/>
          <w:color w:val="000000"/>
        </w:rPr>
        <w:t>一、复试方式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0"/>
        <w:rPr>
          <w:rFonts w:ascii="仿宋" w:eastAsia="仿宋" w:hAnsi="仿宋"/>
          <w:color w:val="000000"/>
        </w:rPr>
      </w:pPr>
      <w:r>
        <w:rPr>
          <w:rFonts w:ascii="仿宋" w:eastAsia="仿宋" w:hAnsi="仿宋" w:hint="eastAsia"/>
          <w:color w:val="000000"/>
        </w:rPr>
        <w:t>本次我院复试采用网络远程复试方式，复试软件为学校规定的网络远程复试平台，相关要求详见学校发布的考生复试须知。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2"/>
        <w:rPr>
          <w:rFonts w:ascii="仿宋" w:eastAsia="仿宋" w:hAnsi="仿宋"/>
          <w:b/>
          <w:bCs/>
          <w:color w:val="000000"/>
        </w:rPr>
      </w:pPr>
      <w:r>
        <w:rPr>
          <w:rFonts w:ascii="仿宋" w:eastAsia="仿宋" w:hAnsi="仿宋" w:hint="eastAsia"/>
          <w:b/>
          <w:bCs/>
          <w:color w:val="000000"/>
        </w:rPr>
        <w:t>二、复试基本要求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0"/>
        <w:rPr>
          <w:rFonts w:ascii="仿宋" w:eastAsia="仿宋" w:hAnsi="仿宋"/>
          <w:color w:val="000000"/>
        </w:rPr>
      </w:pPr>
      <w:r>
        <w:rPr>
          <w:rFonts w:ascii="仿宋" w:eastAsia="仿宋" w:hAnsi="仿宋" w:hint="eastAsia"/>
          <w:color w:val="000000"/>
        </w:rPr>
        <w:t>符合教育部下达的《国家初试成绩基本要求》以及</w:t>
      </w:r>
      <w:r>
        <w:rPr>
          <w:rFonts w:ascii="仿宋" w:eastAsia="仿宋" w:hAnsi="仿宋"/>
          <w:color w:val="000000"/>
        </w:rPr>
        <w:t>我校复试办法</w:t>
      </w:r>
      <w:r>
        <w:rPr>
          <w:rFonts w:ascii="仿宋" w:eastAsia="仿宋" w:hAnsi="仿宋" w:hint="eastAsia"/>
          <w:color w:val="000000"/>
        </w:rPr>
        <w:t>，我</w:t>
      </w:r>
      <w:r>
        <w:rPr>
          <w:rFonts w:ascii="仿宋" w:eastAsia="仿宋" w:hAnsi="仿宋"/>
          <w:color w:val="000000"/>
        </w:rPr>
        <w:t>院</w:t>
      </w:r>
      <w:r>
        <w:rPr>
          <w:rFonts w:ascii="仿宋" w:eastAsia="仿宋" w:hAnsi="仿宋" w:hint="eastAsia"/>
          <w:color w:val="000000"/>
        </w:rPr>
        <w:t>各</w:t>
      </w:r>
      <w:r>
        <w:rPr>
          <w:rFonts w:ascii="仿宋" w:eastAsia="仿宋" w:hAnsi="仿宋"/>
          <w:color w:val="000000"/>
        </w:rPr>
        <w:t>专业</w:t>
      </w:r>
      <w:r>
        <w:rPr>
          <w:rFonts w:ascii="仿宋" w:eastAsia="仿宋" w:hAnsi="仿宋" w:hint="eastAsia"/>
          <w:color w:val="000000"/>
        </w:rPr>
        <w:t>复试基本情况见下表：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"/>
        <w:gridCol w:w="2268"/>
        <w:gridCol w:w="851"/>
        <w:gridCol w:w="1276"/>
        <w:gridCol w:w="1275"/>
        <w:gridCol w:w="2542"/>
      </w:tblGrid>
      <w:tr>
        <w:trPr>
          <w:trHeight w:val="531"/>
          <w:jc w:val="center"/>
        </w:trPr>
        <w:tc>
          <w:tcPr>
            <w:tcW w:w="1126" w:type="dxa"/>
            <w:vAlign w:val="center"/>
          </w:tcPr>
          <w:p>
            <w:pPr>
              <w:pStyle w:val="ac"/>
              <w:widowControl/>
              <w:spacing w:before="0" w:beforeAutospacing="0" w:after="0" w:afterAutospacing="0"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专业代码</w:t>
            </w:r>
          </w:p>
        </w:tc>
        <w:tc>
          <w:tcPr>
            <w:tcW w:w="2268" w:type="dxa"/>
            <w:vAlign w:val="center"/>
          </w:tcPr>
          <w:p>
            <w:pPr>
              <w:pStyle w:val="ac"/>
              <w:widowControl/>
              <w:spacing w:before="0" w:beforeAutospacing="0" w:after="0" w:afterAutospacing="0"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专业及方向名称</w:t>
            </w:r>
            <w:r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851" w:type="dxa"/>
            <w:vAlign w:val="center"/>
          </w:tcPr>
          <w:p>
            <w:pPr>
              <w:pStyle w:val="ac"/>
              <w:widowControl/>
              <w:spacing w:before="0" w:beforeAutospacing="0" w:after="0" w:afterAutospacing="0"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可用</w:t>
            </w:r>
          </w:p>
          <w:p>
            <w:pPr>
              <w:pStyle w:val="ac"/>
              <w:widowControl/>
              <w:spacing w:before="0" w:beforeAutospacing="0" w:after="0" w:afterAutospacing="0"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计划</w:t>
            </w:r>
          </w:p>
        </w:tc>
        <w:tc>
          <w:tcPr>
            <w:tcW w:w="1276" w:type="dxa"/>
            <w:vAlign w:val="center"/>
          </w:tcPr>
          <w:p>
            <w:pPr>
              <w:pStyle w:val="ac"/>
              <w:widowControl/>
              <w:spacing w:before="0" w:beforeAutospacing="0" w:after="0" w:afterAutospacing="0"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复试人数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复试</w:t>
            </w:r>
          </w:p>
          <w:p>
            <w:pPr>
              <w:pStyle w:val="ac"/>
              <w:widowControl/>
              <w:spacing w:before="0" w:beforeAutospacing="0" w:after="0" w:afterAutospacing="0"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分数线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 w:line="360" w:lineRule="exact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备注</w:t>
            </w:r>
          </w:p>
        </w:tc>
      </w:tr>
      <w:tr>
        <w:trPr>
          <w:trHeight w:val="411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bookmarkStart w:id="0" w:name="_Hlk40510824"/>
            <w:r>
              <w:rPr>
                <w:rFonts w:ascii="仿宋" w:eastAsia="仿宋" w:hAnsi="仿宋" w:cs="Arial"/>
                <w:kern w:val="0"/>
                <w:szCs w:val="21"/>
              </w:rPr>
              <w:t>070501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自然地理学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Arial"/>
                <w:kern w:val="0"/>
                <w:szCs w:val="21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3</w:t>
            </w:r>
            <w:r>
              <w:rPr>
                <w:rFonts w:ascii="仿宋" w:eastAsia="仿宋" w:hAnsi="仿宋" w:cs="Arial"/>
                <w:kern w:val="0"/>
                <w:szCs w:val="21"/>
              </w:rPr>
              <w:t>2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3</w:t>
            </w:r>
            <w:r>
              <w:rPr>
                <w:rFonts w:ascii="仿宋" w:eastAsia="仿宋" w:hAnsi="仿宋"/>
                <w:sz w:val="21"/>
                <w:szCs w:val="21"/>
              </w:rPr>
              <w:t>10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>
        <w:trPr>
          <w:trHeight w:val="417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070502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人文地理学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Arial"/>
                <w:kern w:val="0"/>
                <w:szCs w:val="21"/>
              </w:rPr>
              <w:t>5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Arial"/>
                <w:kern w:val="0"/>
                <w:szCs w:val="21"/>
              </w:rPr>
              <w:t>3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3</w:t>
            </w:r>
            <w:r>
              <w:rPr>
                <w:rFonts w:ascii="仿宋" w:eastAsia="仿宋" w:hAnsi="仿宋"/>
                <w:sz w:val="21"/>
                <w:szCs w:val="21"/>
              </w:rPr>
              <w:t>30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</w:p>
        </w:tc>
      </w:tr>
      <w:tr>
        <w:trPr>
          <w:trHeight w:val="423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070503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地图学与地理信息系统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6</w:t>
            </w:r>
            <w:r>
              <w:rPr>
                <w:rFonts w:ascii="仿宋" w:eastAsia="仿宋" w:hAnsi="仿宋" w:cs="Arial"/>
                <w:kern w:val="0"/>
                <w:szCs w:val="21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9</w:t>
            </w:r>
            <w:r>
              <w:rPr>
                <w:rFonts w:ascii="仿宋" w:eastAsia="仿宋" w:hAnsi="仿宋" w:cs="Arial"/>
                <w:kern w:val="0"/>
                <w:szCs w:val="21"/>
              </w:rPr>
              <w:t>5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3</w:t>
            </w:r>
            <w:r>
              <w:rPr>
                <w:rFonts w:ascii="仿宋" w:eastAsia="仿宋" w:hAnsi="仿宋"/>
                <w:sz w:val="21"/>
                <w:szCs w:val="21"/>
              </w:rPr>
              <w:t>70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>
        <w:trPr>
          <w:trHeight w:val="416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  <w:t>0705J1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  <w:t>环境地理学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color w:val="000000" w:themeColor="text1"/>
                <w:sz w:val="21"/>
                <w:szCs w:val="21"/>
              </w:rPr>
            </w:pPr>
          </w:p>
        </w:tc>
      </w:tr>
      <w:tr>
        <w:trPr>
          <w:trHeight w:val="421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  <w:t>0705Z2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  <w:t>地理环境遥感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color w:val="000000" w:themeColor="text1"/>
                <w:kern w:val="0"/>
                <w:szCs w:val="21"/>
              </w:rPr>
              <w:t>1</w:t>
            </w:r>
            <w:r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color w:val="000000" w:themeColor="text1"/>
                <w:sz w:val="21"/>
                <w:szCs w:val="21"/>
              </w:rPr>
            </w:pPr>
          </w:p>
        </w:tc>
      </w:tr>
      <w:tr>
        <w:trPr>
          <w:trHeight w:val="421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081602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  <w:t>摄影测量与遥感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4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6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2</w:t>
            </w:r>
            <w:r>
              <w:rPr>
                <w:rFonts w:ascii="仿宋" w:eastAsia="仿宋" w:hAnsi="仿宋"/>
                <w:sz w:val="21"/>
                <w:szCs w:val="21"/>
              </w:rPr>
              <w:t>94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  <w:highlight w:val="yellow"/>
              </w:rPr>
            </w:pPr>
          </w:p>
        </w:tc>
      </w:tr>
      <w:tr>
        <w:trPr>
          <w:trHeight w:val="421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081603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cs="Arial"/>
                <w:color w:val="000000" w:themeColor="text1"/>
                <w:kern w:val="0"/>
                <w:szCs w:val="21"/>
              </w:rPr>
              <w:t>地图制图学与地理信息工程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3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3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2</w:t>
            </w:r>
            <w:r>
              <w:rPr>
                <w:rFonts w:ascii="仿宋" w:eastAsia="仿宋" w:hAnsi="仿宋"/>
                <w:sz w:val="21"/>
                <w:szCs w:val="21"/>
              </w:rPr>
              <w:t>65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>
        <w:trPr>
          <w:trHeight w:val="421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120203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旅游管理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2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3</w:t>
            </w:r>
            <w:r>
              <w:rPr>
                <w:rFonts w:ascii="仿宋" w:eastAsia="仿宋" w:hAnsi="仿宋"/>
                <w:sz w:val="21"/>
                <w:szCs w:val="21"/>
              </w:rPr>
              <w:t>60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>
        <w:trPr>
          <w:trHeight w:val="421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120405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土地资源管理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4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6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364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>
        <w:trPr>
          <w:trHeight w:val="421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085700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资源与环境</w:t>
            </w:r>
            <w:r>
              <w:rPr>
                <w:rFonts w:ascii="仿宋" w:eastAsia="仿宋" w:hAnsi="仿宋" w:cs="Arial"/>
                <w:kern w:val="0"/>
                <w:szCs w:val="21"/>
              </w:rPr>
              <w:t>(测绘工程</w:t>
            </w:r>
          </w:p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专业学位)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Arial"/>
                <w:kern w:val="0"/>
                <w:szCs w:val="21"/>
              </w:rPr>
              <w:t>9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3</w:t>
            </w:r>
            <w:r>
              <w:rPr>
                <w:rFonts w:ascii="仿宋" w:eastAsia="仿宋" w:hAnsi="仿宋" w:cs="Arial"/>
                <w:kern w:val="0"/>
                <w:szCs w:val="21"/>
              </w:rPr>
              <w:t>5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3</w:t>
            </w:r>
            <w:r>
              <w:rPr>
                <w:rFonts w:ascii="仿宋" w:eastAsia="仿宋" w:hAnsi="仿宋"/>
                <w:sz w:val="21"/>
                <w:szCs w:val="21"/>
              </w:rPr>
              <w:t>17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>
        <w:trPr>
          <w:trHeight w:val="421"/>
          <w:jc w:val="center"/>
        </w:trPr>
        <w:tc>
          <w:tcPr>
            <w:tcW w:w="112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125400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/>
                <w:kern w:val="0"/>
                <w:szCs w:val="21"/>
              </w:rPr>
              <w:t>旅游管理(专业学位)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Arial"/>
                <w:kern w:val="0"/>
                <w:szCs w:val="21"/>
              </w:rPr>
              <w:t>5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eastAsia="仿宋" w:hAnsi="仿宋" w:cs="Arial"/>
                <w:kern w:val="0"/>
                <w:szCs w:val="21"/>
              </w:rPr>
            </w:pPr>
            <w:r>
              <w:rPr>
                <w:rFonts w:ascii="仿宋" w:eastAsia="仿宋" w:hAnsi="仿宋" w:cs="Arial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Arial"/>
                <w:kern w:val="0"/>
                <w:szCs w:val="21"/>
              </w:rPr>
              <w:t>3</w:t>
            </w:r>
          </w:p>
        </w:tc>
        <w:tc>
          <w:tcPr>
            <w:tcW w:w="1275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>
              <w:rPr>
                <w:rFonts w:ascii="仿宋" w:eastAsia="仿宋" w:hAnsi="仿宋"/>
                <w:sz w:val="21"/>
                <w:szCs w:val="21"/>
              </w:rPr>
              <w:t>99</w:t>
            </w:r>
          </w:p>
        </w:tc>
        <w:tc>
          <w:tcPr>
            <w:tcW w:w="2542" w:type="dxa"/>
            <w:vAlign w:val="center"/>
          </w:tcPr>
          <w:p>
            <w:pPr>
              <w:pStyle w:val="ac"/>
              <w:widowControl/>
              <w:spacing w:before="0" w:beforeAutospacing="0" w:after="0" w:afterAutospacing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</w:tbl>
    <w:bookmarkEnd w:id="0"/>
    <w:p>
      <w:pPr>
        <w:pStyle w:val="ac"/>
        <w:widowControl/>
        <w:spacing w:before="0" w:beforeAutospacing="0" w:after="0" w:afterAutospacing="0" w:line="360" w:lineRule="auto"/>
        <w:ind w:firstLineChars="200" w:firstLine="396"/>
        <w:rPr>
          <w:rFonts w:ascii="仿宋" w:eastAsia="仿宋" w:hAnsi="仿宋"/>
          <w:spacing w:val="-6"/>
          <w:kern w:val="2"/>
          <w:sz w:val="21"/>
          <w:szCs w:val="21"/>
        </w:rPr>
      </w:pPr>
      <w:r>
        <w:rPr>
          <w:rFonts w:ascii="仿宋" w:eastAsia="仿宋" w:hAnsi="仿宋" w:hint="eastAsia"/>
          <w:spacing w:val="-6"/>
          <w:kern w:val="2"/>
          <w:sz w:val="21"/>
          <w:szCs w:val="21"/>
        </w:rPr>
        <w:t>注：上表中复试人数不含单考、退役士兵计划、</w:t>
      </w:r>
      <w:r>
        <w:rPr>
          <w:rFonts w:ascii="仿宋" w:eastAsia="仿宋" w:hAnsi="仿宋"/>
          <w:spacing w:val="-6"/>
          <w:kern w:val="2"/>
          <w:sz w:val="21"/>
          <w:szCs w:val="21"/>
        </w:rPr>
        <w:t>少数民族骨干计划</w:t>
      </w:r>
      <w:r>
        <w:rPr>
          <w:rFonts w:ascii="仿宋" w:eastAsia="仿宋" w:hAnsi="仿宋" w:hint="eastAsia"/>
          <w:spacing w:val="-6"/>
          <w:kern w:val="2"/>
          <w:sz w:val="21"/>
          <w:szCs w:val="21"/>
        </w:rPr>
        <w:t>等专项计划。</w:t>
      </w:r>
    </w:p>
    <w:p>
      <w:pPr>
        <w:pStyle w:val="ac"/>
        <w:widowControl/>
        <w:spacing w:before="0" w:beforeAutospacing="0" w:after="0" w:afterAutospacing="0" w:line="360" w:lineRule="auto"/>
        <w:ind w:firstLineChars="200" w:firstLine="482"/>
        <w:rPr>
          <w:rFonts w:ascii="仿宋" w:eastAsia="仿宋" w:hAnsi="仿宋"/>
          <w:b/>
          <w:bCs/>
          <w:color w:val="000000"/>
        </w:rPr>
      </w:pPr>
      <w:r>
        <w:rPr>
          <w:rFonts w:ascii="仿宋" w:eastAsia="仿宋" w:hAnsi="仿宋" w:hint="eastAsia"/>
          <w:b/>
          <w:bCs/>
          <w:color w:val="000000"/>
        </w:rPr>
        <w:t>三、复试考核内容及要求</w:t>
      </w:r>
    </w:p>
    <w:p>
      <w:pPr>
        <w:spacing w:line="360" w:lineRule="auto"/>
        <w:ind w:firstLine="610"/>
        <w:rPr>
          <w:rFonts w:ascii="仿宋" w:eastAsia="仿宋" w:hAnsi="仿宋" w:cs="宋体"/>
          <w:color w:val="000000"/>
          <w:spacing w:val="-4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spacing w:val="-4"/>
          <w:kern w:val="0"/>
          <w:sz w:val="24"/>
        </w:rPr>
        <w:t>复试具体考核内容、流程、时间安排如下：</w:t>
      </w:r>
    </w:p>
    <w:p>
      <w:pPr>
        <w:spacing w:line="360" w:lineRule="auto"/>
        <w:ind w:firstLine="610"/>
        <w:rPr>
          <w:rFonts w:ascii="仿宋" w:eastAsia="仿宋" w:hAnsi="仿宋" w:cs="宋体"/>
          <w:color w:val="000000"/>
          <w:spacing w:val="-4"/>
          <w:kern w:val="0"/>
          <w:sz w:val="24"/>
        </w:rPr>
      </w:pPr>
      <w:r>
        <w:rPr>
          <w:rFonts w:ascii="仿宋" w:eastAsia="仿宋" w:hAnsi="仿宋" w:cs="宋体"/>
          <w:color w:val="000000"/>
          <w:spacing w:val="-4"/>
          <w:kern w:val="0"/>
          <w:sz w:val="24"/>
        </w:rPr>
        <w:t>1）信息比对及身份验证</w:t>
      </w:r>
    </w:p>
    <w:p>
      <w:pPr>
        <w:spacing w:line="360" w:lineRule="auto"/>
        <w:ind w:firstLine="610"/>
        <w:rPr>
          <w:rFonts w:ascii="仿宋" w:eastAsia="仿宋" w:hAnsi="仿宋" w:cs="宋体"/>
          <w:color w:val="000000"/>
          <w:spacing w:val="-4"/>
          <w:kern w:val="0"/>
          <w:sz w:val="24"/>
        </w:rPr>
      </w:pPr>
      <w:r>
        <w:rPr>
          <w:rFonts w:ascii="仿宋" w:eastAsia="仿宋" w:hAnsi="仿宋" w:cs="宋体"/>
          <w:color w:val="000000"/>
          <w:spacing w:val="-4"/>
          <w:kern w:val="0"/>
          <w:sz w:val="24"/>
        </w:rPr>
        <w:t>2）随机抽题问答环节</w:t>
      </w:r>
    </w:p>
    <w:p>
      <w:pPr>
        <w:spacing w:line="360" w:lineRule="auto"/>
        <w:ind w:firstLine="610"/>
        <w:rPr>
          <w:rFonts w:ascii="仿宋" w:eastAsia="仿宋" w:hAnsi="仿宋" w:cs="宋体"/>
          <w:color w:val="000000"/>
          <w:spacing w:val="-4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spacing w:val="-4"/>
          <w:kern w:val="0"/>
          <w:sz w:val="24"/>
        </w:rPr>
        <w:t>从试题库中在线随机抽题并口答，考核知识点不超过招生目录中复试科目内容。旅游管理专业学位硕士的考题中仍包含思想政治理论的内容，地图学与地理信息系统专业的考题中融合了高等数学和专业内容。抽取的题目以“题组”形式呈现，包括</w:t>
      </w:r>
      <w:r>
        <w:rPr>
          <w:rFonts w:ascii="仿宋" w:eastAsia="仿宋" w:hAnsi="仿宋" w:cs="宋体"/>
          <w:color w:val="000000"/>
          <w:spacing w:val="-4"/>
          <w:kern w:val="0"/>
          <w:sz w:val="24"/>
        </w:rPr>
        <w:t>2-3道专业基础题和2-3道综合题，考生各选1题回答。</w:t>
      </w:r>
    </w:p>
    <w:p>
      <w:pPr>
        <w:spacing w:line="360" w:lineRule="auto"/>
        <w:ind w:firstLine="610"/>
        <w:rPr>
          <w:rFonts w:ascii="仿宋" w:eastAsia="仿宋" w:hAnsi="仿宋" w:cs="宋体"/>
          <w:color w:val="000000"/>
          <w:spacing w:val="-4"/>
          <w:kern w:val="0"/>
          <w:sz w:val="24"/>
        </w:rPr>
      </w:pPr>
      <w:r>
        <w:rPr>
          <w:rFonts w:ascii="仿宋" w:eastAsia="仿宋" w:hAnsi="仿宋" w:cs="宋体"/>
          <w:color w:val="000000"/>
          <w:spacing w:val="-4"/>
          <w:kern w:val="0"/>
          <w:sz w:val="24"/>
        </w:rPr>
        <w:t>3）开放性问题问答环节</w:t>
      </w:r>
    </w:p>
    <w:p>
      <w:pPr>
        <w:spacing w:line="360" w:lineRule="auto"/>
        <w:ind w:firstLine="610"/>
        <w:rPr>
          <w:rFonts w:ascii="仿宋" w:eastAsia="仿宋" w:hAnsi="仿宋" w:cs="宋体"/>
          <w:color w:val="000000"/>
          <w:spacing w:val="-4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spacing w:val="-4"/>
          <w:kern w:val="0"/>
          <w:sz w:val="24"/>
        </w:rPr>
        <w:t>考官现场提出开放性问题，考核考生思想政治素养和道德品质、专业理论知识和技能、治学态度、个人志趣、创新思维、综合运用所学知识分析问题解决问题的能力和素质等，考生在线口答。</w:t>
      </w:r>
    </w:p>
    <w:p>
      <w:pPr>
        <w:spacing w:line="360" w:lineRule="auto"/>
        <w:ind w:firstLine="612"/>
        <w:rPr>
          <w:rFonts w:ascii="仿宋" w:eastAsia="仿宋" w:hAnsi="仿宋" w:cs="宋体"/>
          <w:color w:val="000000"/>
          <w:spacing w:val="-4"/>
          <w:kern w:val="0"/>
          <w:sz w:val="24"/>
        </w:rPr>
      </w:pPr>
      <w:r>
        <w:rPr>
          <w:rFonts w:ascii="仿宋" w:eastAsia="仿宋" w:hAnsi="仿宋" w:cs="宋体"/>
          <w:color w:val="000000"/>
          <w:spacing w:val="-4"/>
          <w:kern w:val="0"/>
          <w:sz w:val="24"/>
        </w:rPr>
        <w:t>4）外语听力和口语能力</w:t>
      </w:r>
    </w:p>
    <w:p>
      <w:pPr>
        <w:spacing w:line="360" w:lineRule="auto"/>
        <w:ind w:firstLine="612"/>
        <w:rPr>
          <w:rFonts w:ascii="仿宋" w:eastAsia="仿宋" w:hAnsi="仿宋" w:cs="宋体"/>
          <w:color w:val="000000"/>
          <w:spacing w:val="-4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spacing w:val="-4"/>
          <w:kern w:val="0"/>
          <w:sz w:val="24"/>
        </w:rPr>
        <w:lastRenderedPageBreak/>
        <w:t>学院将在正式复试前1-3天组织模拟演练和面试顺序抽签，具体演练和抽签时间安排将根据各专业复试时间另行通知，请保持手机和钉钉通讯软件畅通。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2"/>
        <w:rPr>
          <w:rFonts w:ascii="仿宋" w:eastAsia="仿宋" w:hAnsi="仿宋"/>
          <w:b/>
          <w:bCs/>
          <w:color w:val="000000"/>
        </w:rPr>
      </w:pPr>
      <w:r>
        <w:rPr>
          <w:rFonts w:ascii="仿宋" w:eastAsia="仿宋" w:hAnsi="仿宋" w:hint="eastAsia"/>
          <w:b/>
          <w:bCs/>
          <w:color w:val="000000"/>
        </w:rPr>
        <w:t>四、复试工作安排</w:t>
      </w:r>
    </w:p>
    <w:p>
      <w:pPr>
        <w:spacing w:line="360" w:lineRule="exact"/>
        <w:ind w:firstLineChars="300" w:firstLine="720"/>
        <w:jc w:val="left"/>
        <w:rPr>
          <w:rFonts w:ascii="仿宋" w:eastAsia="仿宋" w:hAnsi="仿宋" w:cs="微软雅黑"/>
          <w:sz w:val="24"/>
          <w:szCs w:val="24"/>
        </w:rPr>
      </w:pPr>
      <w:r>
        <w:rPr>
          <w:rFonts w:ascii="仿宋" w:eastAsia="仿宋" w:hAnsi="仿宋" w:cs="微软雅黑" w:hint="eastAsia"/>
          <w:sz w:val="24"/>
          <w:szCs w:val="24"/>
        </w:rPr>
        <w:t>（一）资格审核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</w:rPr>
        <w:t>考生须在</w:t>
      </w:r>
      <w:r>
        <w:rPr>
          <w:rFonts w:ascii="仿宋" w:eastAsia="仿宋" w:hAnsi="仿宋" w:cs="宋体"/>
          <w:color w:val="000000"/>
          <w:kern w:val="0"/>
          <w:sz w:val="24"/>
        </w:rPr>
        <w:t>3月30日前将以下材料的电子版（扫描成PDF文件），</w:t>
      </w:r>
      <w:hyperlink r:id="rId8" w:history="1">
        <w:r>
          <w:rPr>
            <w:rStyle w:val="af1"/>
            <w:rFonts w:ascii="仿宋" w:eastAsia="仿宋" w:hAnsi="仿宋" w:cs="宋体" w:hint="eastAsia"/>
            <w:kern w:val="0"/>
            <w:sz w:val="24"/>
          </w:rPr>
          <w:t>发送至邮箱</w:t>
        </w:r>
        <w:r>
          <w:rPr>
            <w:rStyle w:val="af1"/>
            <w:rFonts w:ascii="仿宋" w:eastAsia="仿宋" w:hAnsi="仿宋" w:cs="宋体"/>
            <w:kern w:val="0"/>
            <w:sz w:val="24"/>
          </w:rPr>
          <w:t>njnuGeo@qq.com</w:t>
        </w:r>
      </w:hyperlink>
      <w:r>
        <w:rPr>
          <w:rStyle w:val="af1"/>
          <w:rFonts w:ascii="仿宋" w:eastAsia="仿宋" w:hAnsi="仿宋" w:cs="宋体" w:hint="eastAsia"/>
          <w:kern w:val="0"/>
          <w:sz w:val="24"/>
        </w:rPr>
        <w:t>，邮件主题：序号</w:t>
      </w:r>
      <w:r>
        <w:rPr>
          <w:rStyle w:val="af1"/>
          <w:rFonts w:ascii="仿宋" w:eastAsia="仿宋" w:hAnsi="仿宋" w:cs="宋体"/>
          <w:kern w:val="0"/>
          <w:sz w:val="24"/>
        </w:rPr>
        <w:t>+</w:t>
      </w:r>
      <w:r>
        <w:rPr>
          <w:rStyle w:val="af1"/>
          <w:rFonts w:ascii="仿宋" w:eastAsia="仿宋" w:hAnsi="仿宋" w:cs="宋体" w:hint="eastAsia"/>
          <w:kern w:val="0"/>
          <w:sz w:val="24"/>
        </w:rPr>
        <w:t>专业名称缩写+</w:t>
      </w:r>
      <w:r>
        <w:rPr>
          <w:rStyle w:val="af1"/>
          <w:rFonts w:ascii="仿宋" w:eastAsia="仿宋" w:hAnsi="仿宋" w:cs="宋体"/>
          <w:kern w:val="0"/>
          <w:sz w:val="24"/>
        </w:rPr>
        <w:t>姓名+复试材料</w:t>
      </w:r>
      <w:r>
        <w:rPr>
          <w:rStyle w:val="af1"/>
          <w:rFonts w:ascii="仿宋" w:eastAsia="仿宋" w:hAnsi="仿宋" w:cs="宋体" w:hint="eastAsia"/>
          <w:kern w:val="0"/>
          <w:sz w:val="24"/>
        </w:rPr>
        <w:t>（注意序号是指地科院网站公示名单中的第一列序号）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。</w:t>
      </w:r>
      <w:r>
        <w:rPr>
          <w:rFonts w:ascii="仿宋" w:eastAsia="仿宋" w:hAnsi="仿宋" w:cs="宋体"/>
          <w:color w:val="000000"/>
          <w:kern w:val="0"/>
          <w:sz w:val="24"/>
        </w:rPr>
        <w:t>1-9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项材料扫描后做成</w:t>
      </w:r>
      <w:r>
        <w:rPr>
          <w:rFonts w:ascii="仿宋" w:eastAsia="仿宋" w:hAnsi="仿宋" w:cs="宋体"/>
          <w:color w:val="000000"/>
          <w:kern w:val="0"/>
          <w:sz w:val="24"/>
        </w:rPr>
        <w:t>1个PDF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文件，以“</w:t>
      </w:r>
      <w:r>
        <w:rPr>
          <w:rStyle w:val="af1"/>
          <w:rFonts w:ascii="仿宋" w:eastAsia="仿宋" w:hAnsi="仿宋" w:cs="宋体" w:hint="eastAsia"/>
          <w:kern w:val="0"/>
          <w:sz w:val="24"/>
        </w:rPr>
        <w:t>序号</w:t>
      </w:r>
      <w:r>
        <w:rPr>
          <w:rStyle w:val="af1"/>
          <w:rFonts w:ascii="仿宋" w:eastAsia="仿宋" w:hAnsi="仿宋" w:cs="宋体"/>
          <w:kern w:val="0"/>
          <w:sz w:val="24"/>
        </w:rPr>
        <w:t>+</w:t>
      </w:r>
      <w:r>
        <w:rPr>
          <w:rStyle w:val="af1"/>
          <w:rFonts w:ascii="仿宋" w:eastAsia="仿宋" w:hAnsi="仿宋" w:cs="宋体" w:hint="eastAsia"/>
          <w:kern w:val="0"/>
          <w:sz w:val="24"/>
        </w:rPr>
        <w:t>专业名称缩写</w:t>
      </w:r>
      <w:r>
        <w:rPr>
          <w:rStyle w:val="af1"/>
          <w:rFonts w:ascii="仿宋" w:eastAsia="仿宋" w:hAnsi="仿宋" w:cs="宋体"/>
          <w:kern w:val="0"/>
          <w:sz w:val="24"/>
        </w:rPr>
        <w:t>+姓名+基本材料</w:t>
      </w:r>
      <w:r>
        <w:rPr>
          <w:rFonts w:ascii="仿宋" w:eastAsia="仿宋" w:hAnsi="仿宋" w:cs="宋体"/>
          <w:color w:val="000000"/>
          <w:kern w:val="0"/>
          <w:sz w:val="24"/>
        </w:rPr>
        <w:t>”命名。</w:t>
      </w:r>
      <w:bookmarkStart w:id="1" w:name="_Hlk40512462"/>
      <w:r>
        <w:rPr>
          <w:rFonts w:ascii="仿宋" w:eastAsia="仿宋" w:hAnsi="仿宋" w:cs="宋体" w:hint="eastAsia"/>
          <w:color w:val="000000"/>
          <w:kern w:val="0"/>
          <w:sz w:val="24"/>
        </w:rPr>
        <w:t>第1</w:t>
      </w:r>
      <w:r>
        <w:rPr>
          <w:rFonts w:ascii="仿宋" w:eastAsia="仿宋" w:hAnsi="仿宋" w:cs="宋体"/>
          <w:color w:val="000000"/>
          <w:kern w:val="0"/>
          <w:sz w:val="24"/>
        </w:rPr>
        <w:t>0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、1</w:t>
      </w:r>
      <w:r>
        <w:rPr>
          <w:rFonts w:ascii="仿宋" w:eastAsia="仿宋" w:hAnsi="仿宋" w:cs="宋体"/>
          <w:color w:val="000000"/>
          <w:kern w:val="0"/>
          <w:sz w:val="24"/>
        </w:rPr>
        <w:t>1</w:t>
      </w:r>
      <w:bookmarkStart w:id="2" w:name="_GoBack"/>
      <w:bookmarkEnd w:id="2"/>
      <w:r>
        <w:rPr>
          <w:rFonts w:ascii="仿宋" w:eastAsia="仿宋" w:hAnsi="仿宋" w:cs="宋体" w:hint="eastAsia"/>
          <w:color w:val="000000"/>
          <w:kern w:val="0"/>
          <w:sz w:val="24"/>
        </w:rPr>
        <w:t>项材料扫描后分别做成</w:t>
      </w:r>
      <w:r>
        <w:rPr>
          <w:rFonts w:ascii="仿宋" w:eastAsia="仿宋" w:hAnsi="仿宋" w:cs="宋体"/>
          <w:color w:val="000000"/>
          <w:kern w:val="0"/>
          <w:sz w:val="24"/>
        </w:rPr>
        <w:t>2个独立的PDF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文件，</w:t>
      </w:r>
      <w:bookmarkEnd w:id="1"/>
      <w:r>
        <w:rPr>
          <w:rFonts w:ascii="仿宋" w:eastAsia="仿宋" w:hAnsi="仿宋" w:cs="宋体" w:hint="eastAsia"/>
          <w:color w:val="000000"/>
          <w:kern w:val="0"/>
          <w:sz w:val="24"/>
        </w:rPr>
        <w:t>分别以“</w:t>
      </w:r>
      <w:r>
        <w:rPr>
          <w:rStyle w:val="af1"/>
          <w:rFonts w:ascii="仿宋" w:eastAsia="仿宋" w:hAnsi="仿宋" w:cs="宋体" w:hint="eastAsia"/>
          <w:kern w:val="0"/>
          <w:sz w:val="24"/>
        </w:rPr>
        <w:t>序号</w:t>
      </w:r>
      <w:r>
        <w:rPr>
          <w:rStyle w:val="af1"/>
          <w:rFonts w:ascii="仿宋" w:eastAsia="仿宋" w:hAnsi="仿宋" w:cs="宋体"/>
          <w:kern w:val="0"/>
          <w:sz w:val="24"/>
        </w:rPr>
        <w:t>+</w:t>
      </w:r>
      <w:r>
        <w:rPr>
          <w:rStyle w:val="af1"/>
          <w:rFonts w:ascii="仿宋" w:eastAsia="仿宋" w:hAnsi="仿宋" w:cs="宋体" w:hint="eastAsia"/>
          <w:kern w:val="0"/>
          <w:sz w:val="24"/>
        </w:rPr>
        <w:t>专业名称缩写+</w:t>
      </w:r>
      <w:r>
        <w:rPr>
          <w:rStyle w:val="af1"/>
        </w:rPr>
        <w:t>姓</w:t>
      </w:r>
      <w:r>
        <w:rPr>
          <w:rStyle w:val="af1"/>
          <w:rFonts w:ascii="仿宋" w:eastAsia="仿宋" w:hAnsi="仿宋" w:cs="宋体"/>
          <w:kern w:val="0"/>
          <w:sz w:val="24"/>
        </w:rPr>
        <w:t>名+学业科研材料</w:t>
      </w:r>
      <w:r>
        <w:rPr>
          <w:rFonts w:ascii="仿宋" w:eastAsia="仿宋" w:hAnsi="仿宋" w:cs="宋体"/>
          <w:color w:val="000000"/>
          <w:kern w:val="0"/>
          <w:sz w:val="24"/>
        </w:rPr>
        <w:t>”、“</w:t>
      </w:r>
      <w:r>
        <w:rPr>
          <w:rStyle w:val="af1"/>
          <w:rFonts w:ascii="仿宋" w:eastAsia="仿宋" w:hAnsi="仿宋" w:cs="宋体" w:hint="eastAsia"/>
          <w:kern w:val="0"/>
          <w:sz w:val="24"/>
        </w:rPr>
        <w:t>序号</w:t>
      </w:r>
      <w:r>
        <w:rPr>
          <w:rStyle w:val="af1"/>
          <w:rFonts w:ascii="仿宋" w:eastAsia="仿宋" w:hAnsi="仿宋" w:cs="宋体"/>
          <w:kern w:val="0"/>
          <w:sz w:val="24"/>
        </w:rPr>
        <w:t>+</w:t>
      </w:r>
      <w:r>
        <w:rPr>
          <w:rStyle w:val="af1"/>
          <w:rFonts w:ascii="仿宋" w:eastAsia="仿宋" w:hAnsi="仿宋" w:cs="宋体" w:hint="eastAsia"/>
          <w:kern w:val="0"/>
          <w:sz w:val="24"/>
        </w:rPr>
        <w:t>专业名称缩写+</w:t>
      </w:r>
      <w:r>
        <w:rPr>
          <w:rStyle w:val="af1"/>
          <w:rFonts w:ascii="仿宋" w:eastAsia="仿宋" w:hAnsi="仿宋" w:cs="宋体"/>
          <w:kern w:val="0"/>
          <w:sz w:val="24"/>
        </w:rPr>
        <w:t>证明材料</w:t>
      </w:r>
      <w:r>
        <w:rPr>
          <w:rFonts w:ascii="仿宋" w:eastAsia="仿宋" w:hAnsi="仿宋" w:cs="宋体"/>
          <w:color w:val="000000"/>
          <w:kern w:val="0"/>
          <w:sz w:val="24"/>
        </w:rPr>
        <w:t>”（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注：编号是指复试公示名单中第一列的序号）。</w:t>
      </w:r>
      <w:r>
        <w:rPr>
          <w:rFonts w:ascii="仿宋" w:eastAsia="仿宋" w:hAnsi="仿宋" w:cs="宋体" w:hint="eastAsia"/>
          <w:color w:val="000000"/>
          <w:kern w:val="0"/>
          <w:sz w:val="24"/>
          <w:u w:val="single"/>
        </w:rPr>
        <w:t>专业名称缩写形式：自然、人文、地信、环境地理、遥感、测绘学硕、资环专硕、土管、旅管学硕、旅管专硕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，</w:t>
      </w:r>
      <w:r>
        <w:rPr>
          <w:rFonts w:ascii="仿宋" w:eastAsia="仿宋" w:hAnsi="仿宋" w:cs="宋体" w:hint="eastAsia"/>
          <w:b/>
          <w:color w:val="000000"/>
          <w:kern w:val="0"/>
          <w:sz w:val="24"/>
        </w:rPr>
        <w:t>资格</w:t>
      </w:r>
      <w:r>
        <w:rPr>
          <w:rFonts w:ascii="仿宋" w:eastAsia="仿宋" w:hAnsi="仿宋" w:cs="宋体"/>
          <w:b/>
          <w:color w:val="000000"/>
          <w:kern w:val="0"/>
          <w:sz w:val="24"/>
        </w:rPr>
        <w:t>审核不通过者</w:t>
      </w:r>
      <w:r>
        <w:rPr>
          <w:rFonts w:ascii="仿宋" w:eastAsia="仿宋" w:hAnsi="仿宋" w:cs="宋体" w:hint="eastAsia"/>
          <w:b/>
          <w:color w:val="000000"/>
          <w:kern w:val="0"/>
          <w:sz w:val="24"/>
        </w:rPr>
        <w:t>，</w:t>
      </w:r>
      <w:r>
        <w:rPr>
          <w:rFonts w:ascii="仿宋" w:eastAsia="仿宋" w:hAnsi="仿宋" w:cs="宋体"/>
          <w:b/>
          <w:color w:val="000000"/>
          <w:kern w:val="0"/>
          <w:sz w:val="24"/>
        </w:rPr>
        <w:t>不得参加</w:t>
      </w:r>
      <w:r>
        <w:rPr>
          <w:rFonts w:ascii="仿宋" w:eastAsia="仿宋" w:hAnsi="仿宋" w:cs="宋体" w:hint="eastAsia"/>
          <w:b/>
          <w:color w:val="000000"/>
          <w:kern w:val="0"/>
          <w:sz w:val="24"/>
        </w:rPr>
        <w:t>复试。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</w:rPr>
        <w:t>1.《南京师范大学网络远程复试考生诚信承诺书》（从南京师范大学研究生院网站下载打印后，由考生本人亲自手写签名）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</w:rPr>
        <w:t>2.复试通知书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</w:rPr>
        <w:t>3.本人有效居民身份证原件正反面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</w:rPr>
        <w:t>4.</w:t>
      </w:r>
      <w:r>
        <w:rPr>
          <w:rFonts w:ascii="仿宋" w:eastAsia="仿宋" w:hAnsi="仿宋" w:cs="宋体"/>
          <w:color w:val="000000"/>
          <w:kern w:val="0"/>
          <w:sz w:val="24"/>
        </w:rPr>
        <w:t>应届生：学籍在线验证报告或完整注册的学生证原件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</w:rPr>
        <w:t>5.</w:t>
      </w:r>
      <w:r>
        <w:rPr>
          <w:rFonts w:ascii="仿宋" w:eastAsia="仿宋" w:hAnsi="仿宋" w:cs="宋体"/>
          <w:color w:val="000000"/>
          <w:kern w:val="0"/>
          <w:sz w:val="24"/>
        </w:rPr>
        <w:t>往届生：学历在线验证报告（或毕业证书）和学位证书原件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/>
          <w:color w:val="000000"/>
          <w:kern w:val="0"/>
          <w:sz w:val="24"/>
        </w:rPr>
        <w:t>6.境外学历考生：教育部留学服务中心出具的学历学位认证报告原件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/>
          <w:color w:val="000000"/>
          <w:kern w:val="0"/>
          <w:sz w:val="24"/>
        </w:rPr>
        <w:t>7.“退役大学生士兵”专项计划考生须提供“入伍批准书”和“退出现役证”原件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/>
          <w:color w:val="000000"/>
          <w:kern w:val="0"/>
          <w:sz w:val="24"/>
        </w:rPr>
        <w:t>8.报名时未通过学历（学籍）校验的考生须提供“教育部学历证书电子注册备案表”或“教育部学历认证报告”原件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</w:rPr>
        <w:t>9.</w:t>
      </w:r>
      <w:r>
        <w:rPr>
          <w:rFonts w:ascii="仿宋" w:eastAsia="仿宋" w:hAnsi="仿宋" w:cs="宋体"/>
          <w:color w:val="000000"/>
          <w:kern w:val="0"/>
          <w:sz w:val="24"/>
        </w:rPr>
        <w:t>以同等学力身份报考的高职高专、本科结业考生，还须上传以下材料：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</w:rPr>
        <w:t>①</w:t>
      </w:r>
      <w:r>
        <w:rPr>
          <w:rFonts w:ascii="仿宋" w:eastAsia="仿宋" w:hAnsi="仿宋" w:cs="宋体"/>
          <w:color w:val="000000"/>
          <w:kern w:val="0"/>
          <w:sz w:val="24"/>
        </w:rPr>
        <w:t>进修过8门或8门以上与报考专业相同或相近的本科主干课程的成绩单原件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</w:rPr>
        <w:t>②</w:t>
      </w:r>
      <w:r>
        <w:rPr>
          <w:rFonts w:ascii="仿宋" w:eastAsia="仿宋" w:hAnsi="仿宋" w:cs="宋体"/>
          <w:color w:val="000000"/>
          <w:kern w:val="0"/>
          <w:sz w:val="24"/>
        </w:rPr>
        <w:t>在公开出版的刊物上发表过与报考专业相关的学术论文(第一作者)原件，或获得厅局级以上奖项原件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/>
          <w:color w:val="000000"/>
          <w:kern w:val="0"/>
          <w:sz w:val="24"/>
        </w:rPr>
        <w:t>10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.能证明本科阶段学业水平、科研能力和综合素质的材料，包括个人简历、学习成绩单、毕业论文（题目和摘要）、科研或创作成果、校级及以上获奖列表（附件1）。</w:t>
      </w:r>
    </w:p>
    <w:p>
      <w:pPr>
        <w:widowControl/>
        <w:spacing w:line="360" w:lineRule="auto"/>
        <w:ind w:firstLine="480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/>
          <w:color w:val="000000"/>
          <w:kern w:val="0"/>
          <w:sz w:val="24"/>
        </w:rPr>
        <w:t>11</w:t>
      </w:r>
      <w:r>
        <w:rPr>
          <w:rFonts w:ascii="仿宋" w:eastAsia="仿宋" w:hAnsi="仿宋" w:cs="宋体" w:hint="eastAsia"/>
          <w:color w:val="000000"/>
          <w:kern w:val="0"/>
          <w:sz w:val="24"/>
        </w:rPr>
        <w:t>.科研或创作成果、校级及以上获奖的证明材料（在每页上面标注与附件1表格对应的序号，如“科研成果1”、“获奖1”）。</w:t>
      </w:r>
    </w:p>
    <w:p>
      <w:pPr>
        <w:spacing w:line="360" w:lineRule="exact"/>
        <w:ind w:firstLineChars="300" w:firstLine="720"/>
        <w:jc w:val="left"/>
        <w:rPr>
          <w:rFonts w:ascii="仿宋" w:eastAsia="仿宋" w:hAnsi="仿宋" w:cs="微软雅黑"/>
          <w:sz w:val="24"/>
          <w:szCs w:val="24"/>
        </w:rPr>
      </w:pPr>
      <w:r>
        <w:rPr>
          <w:rFonts w:ascii="仿宋" w:eastAsia="仿宋" w:hAnsi="仿宋" w:cs="微软雅黑" w:hint="eastAsia"/>
          <w:sz w:val="24"/>
          <w:szCs w:val="24"/>
        </w:rPr>
        <w:t>（二）时间安排</w:t>
      </w:r>
    </w:p>
    <w:p>
      <w:pPr>
        <w:spacing w:line="360" w:lineRule="exact"/>
        <w:ind w:firstLineChars="300" w:firstLine="720"/>
        <w:jc w:val="left"/>
        <w:rPr>
          <w:rFonts w:ascii="仿宋" w:eastAsia="仿宋" w:hAnsi="仿宋"/>
          <w:b/>
          <w:bCs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时间：拟定为4月7</w:t>
      </w:r>
      <w:r>
        <w:rPr>
          <w:rFonts w:ascii="仿宋" w:eastAsia="仿宋" w:hAnsi="仿宋"/>
          <w:color w:val="000000"/>
          <w:sz w:val="24"/>
          <w:szCs w:val="24"/>
        </w:rPr>
        <w:t>-8</w:t>
      </w:r>
      <w:r>
        <w:rPr>
          <w:rFonts w:ascii="仿宋" w:eastAsia="仿宋" w:hAnsi="仿宋" w:hint="eastAsia"/>
          <w:color w:val="000000"/>
          <w:sz w:val="24"/>
          <w:szCs w:val="24"/>
        </w:rPr>
        <w:t>日进行，具体时间将另行通知。</w:t>
      </w:r>
    </w:p>
    <w:p>
      <w:pPr>
        <w:spacing w:line="360" w:lineRule="exact"/>
        <w:ind w:firstLineChars="200" w:firstLine="482"/>
        <w:jc w:val="left"/>
        <w:rPr>
          <w:rFonts w:ascii="仿宋" w:eastAsia="仿宋" w:hAnsi="仿宋"/>
          <w:b/>
          <w:bCs/>
          <w:color w:val="000000"/>
          <w:sz w:val="24"/>
          <w:szCs w:val="24"/>
        </w:rPr>
      </w:pPr>
      <w:r>
        <w:rPr>
          <w:rFonts w:ascii="仿宋" w:eastAsia="仿宋" w:hAnsi="仿宋" w:hint="eastAsia"/>
          <w:b/>
          <w:bCs/>
          <w:color w:val="000000"/>
          <w:sz w:val="24"/>
          <w:szCs w:val="24"/>
        </w:rPr>
        <w:t>五、录取</w:t>
      </w:r>
    </w:p>
    <w:p>
      <w:pPr>
        <w:pStyle w:val="a3"/>
        <w:spacing w:line="360" w:lineRule="exact"/>
        <w:ind w:left="0" w:firstLineChars="200" w:firstLine="456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pacing w:val="-6"/>
          <w:sz w:val="24"/>
          <w:szCs w:val="24"/>
        </w:rPr>
        <w:t>考生复试后的综合成绩采用权重计算方法，满分为100分。具体计算方法为：</w:t>
      </w:r>
      <w:r>
        <w:rPr>
          <w:rFonts w:ascii="仿宋" w:eastAsia="仿宋" w:hAnsi="仿宋" w:hint="eastAsia"/>
          <w:sz w:val="24"/>
          <w:szCs w:val="24"/>
        </w:rPr>
        <w:t>综合成绩=初试总成绩×（100/初试满分）×60%+复试面试成绩（满分100分）35%+外语听力及口语成绩（满分100分）×</w:t>
      </w:r>
      <w:r>
        <w:rPr>
          <w:rFonts w:ascii="仿宋" w:eastAsia="仿宋" w:hAnsi="仿宋" w:hint="eastAsia"/>
          <w:sz w:val="24"/>
          <w:szCs w:val="24"/>
        </w:rPr>
        <w:lastRenderedPageBreak/>
        <w:t>5%。</w:t>
      </w:r>
      <w:r>
        <w:rPr>
          <w:rFonts w:ascii="仿宋" w:eastAsia="仿宋" w:hAnsi="仿宋" w:cs="微软雅黑" w:hint="eastAsia"/>
          <w:sz w:val="24"/>
          <w:szCs w:val="24"/>
        </w:rPr>
        <w:t>学院根据招生计划和考生的综合成绩拟定各专业拟录取名单，经研究生院审定后在学院网站公示。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2"/>
        <w:rPr>
          <w:rFonts w:ascii="仿宋" w:eastAsia="仿宋" w:hAnsi="仿宋" w:cs="微软雅黑"/>
          <w:b/>
          <w:bCs/>
          <w:kern w:val="2"/>
        </w:rPr>
      </w:pPr>
      <w:r>
        <w:rPr>
          <w:rFonts w:ascii="仿宋" w:eastAsia="仿宋" w:hAnsi="仿宋" w:cs="微软雅黑" w:hint="eastAsia"/>
          <w:b/>
          <w:bCs/>
          <w:kern w:val="2"/>
        </w:rPr>
        <w:t>六、信息公开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0"/>
        <w:rPr>
          <w:rFonts w:ascii="仿宋" w:eastAsia="仿宋" w:hAnsi="仿宋" w:cs="微软雅黑"/>
          <w:kern w:val="2"/>
        </w:rPr>
      </w:pPr>
      <w:r>
        <w:rPr>
          <w:rFonts w:ascii="仿宋" w:eastAsia="仿宋" w:hAnsi="仿宋" w:cs="微软雅黑" w:hint="eastAsia"/>
          <w:kern w:val="2"/>
        </w:rPr>
        <w:t>为确保招生录取工作规范透明，我院将及时公布复试方案、复试名单、综合成绩、拟录取名单等信息。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0"/>
        <w:rPr>
          <w:rFonts w:ascii="仿宋" w:eastAsia="仿宋" w:hAnsi="仿宋" w:cs="微软雅黑"/>
          <w:kern w:val="2"/>
        </w:rPr>
      </w:pPr>
      <w:r>
        <w:rPr>
          <w:rFonts w:ascii="仿宋" w:eastAsia="仿宋" w:hAnsi="仿宋" w:cs="微软雅黑" w:hint="eastAsia"/>
          <w:kern w:val="2"/>
        </w:rPr>
        <w:t>学院监督与投诉电话：025-</w:t>
      </w:r>
      <w:r>
        <w:rPr>
          <w:rFonts w:ascii="仿宋" w:eastAsia="仿宋" w:hAnsi="仿宋" w:cs="微软雅黑"/>
          <w:kern w:val="2"/>
        </w:rPr>
        <w:t xml:space="preserve">85891830   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0"/>
        <w:rPr>
          <w:rFonts w:ascii="仿宋" w:eastAsia="仿宋" w:hAnsi="仿宋" w:cs="微软雅黑"/>
          <w:kern w:val="2"/>
        </w:rPr>
      </w:pPr>
      <w:r>
        <w:rPr>
          <w:rFonts w:ascii="仿宋" w:eastAsia="仿宋" w:hAnsi="仿宋" w:cs="微软雅黑" w:hint="eastAsia"/>
          <w:kern w:val="2"/>
        </w:rPr>
        <w:t xml:space="preserve">联系地址： </w:t>
      </w:r>
      <w:r>
        <w:rPr>
          <w:rFonts w:ascii="仿宋" w:eastAsia="仿宋" w:hAnsi="仿宋" w:hint="eastAsia"/>
          <w:color w:val="000000"/>
        </w:rPr>
        <w:t>南京市栖霞区文苑路1号，南师大地科院研招办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2"/>
        <w:rPr>
          <w:rFonts w:ascii="仿宋" w:eastAsia="仿宋" w:hAnsi="仿宋" w:cs="微软雅黑"/>
          <w:b/>
          <w:bCs/>
          <w:kern w:val="2"/>
        </w:rPr>
      </w:pPr>
      <w:r>
        <w:rPr>
          <w:rFonts w:ascii="仿宋" w:eastAsia="仿宋" w:hAnsi="仿宋" w:cs="微软雅黑" w:hint="eastAsia"/>
          <w:b/>
          <w:bCs/>
          <w:kern w:val="2"/>
        </w:rPr>
        <w:t>七、其它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0"/>
        <w:rPr>
          <w:rFonts w:ascii="仿宋" w:eastAsia="仿宋" w:hAnsi="仿宋" w:cs="微软雅黑"/>
          <w:kern w:val="2"/>
        </w:rPr>
      </w:pPr>
      <w:r>
        <w:rPr>
          <w:rFonts w:ascii="仿宋" w:eastAsia="仿宋" w:hAnsi="仿宋" w:cs="微软雅黑" w:hint="eastAsia"/>
          <w:kern w:val="2"/>
        </w:rPr>
        <w:t>1.本方案的解释权为</w:t>
      </w:r>
      <w:r>
        <w:rPr>
          <w:rFonts w:ascii="仿宋" w:eastAsia="仿宋" w:hAnsi="仿宋" w:hint="eastAsia"/>
          <w:color w:val="000000"/>
        </w:rPr>
        <w:t>地理科学</w:t>
      </w:r>
      <w:r>
        <w:rPr>
          <w:rFonts w:ascii="仿宋" w:eastAsia="仿宋" w:hAnsi="仿宋" w:cs="微软雅黑" w:hint="eastAsia"/>
          <w:kern w:val="2"/>
        </w:rPr>
        <w:t>学院研究生招生工作领导小组。</w:t>
      </w:r>
    </w:p>
    <w:p>
      <w:pPr>
        <w:pStyle w:val="ac"/>
        <w:widowControl/>
        <w:spacing w:before="0" w:beforeAutospacing="0" w:after="0" w:afterAutospacing="0" w:line="360" w:lineRule="exact"/>
        <w:ind w:firstLineChars="200" w:firstLine="480"/>
        <w:rPr>
          <w:rFonts w:ascii="仿宋" w:eastAsia="仿宋" w:hAnsi="仿宋" w:cs="微软雅黑"/>
          <w:kern w:val="2"/>
        </w:rPr>
      </w:pPr>
      <w:r>
        <w:rPr>
          <w:rFonts w:ascii="仿宋" w:eastAsia="仿宋" w:hAnsi="仿宋" w:cs="微软雅黑" w:hint="eastAsia"/>
          <w:kern w:val="2"/>
        </w:rPr>
        <w:t>2.本通知内容若与学校复试文件相冲突，以学校文件为准。</w:t>
      </w:r>
    </w:p>
    <w:p>
      <w:pPr>
        <w:spacing w:line="360" w:lineRule="exact"/>
        <w:ind w:right="560" w:firstLineChars="3500" w:firstLine="840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地理科学学院</w:t>
      </w:r>
    </w:p>
    <w:p>
      <w:pPr>
        <w:spacing w:line="360" w:lineRule="exact"/>
        <w:ind w:right="240" w:firstLineChars="100" w:firstLine="240"/>
        <w:jc w:val="right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/>
          <w:color w:val="000000"/>
          <w:sz w:val="24"/>
          <w:szCs w:val="24"/>
        </w:rPr>
        <w:t>2021</w:t>
      </w:r>
      <w:r>
        <w:rPr>
          <w:rFonts w:ascii="仿宋" w:eastAsia="仿宋" w:hAnsi="仿宋" w:hint="eastAsia"/>
          <w:color w:val="000000"/>
          <w:sz w:val="24"/>
          <w:szCs w:val="24"/>
        </w:rPr>
        <w:t>年</w:t>
      </w:r>
      <w:r>
        <w:rPr>
          <w:rFonts w:ascii="仿宋" w:eastAsia="仿宋" w:hAnsi="仿宋"/>
          <w:color w:val="000000"/>
          <w:sz w:val="24"/>
          <w:szCs w:val="24"/>
        </w:rPr>
        <w:t>3</w:t>
      </w:r>
      <w:r>
        <w:rPr>
          <w:rFonts w:ascii="仿宋" w:eastAsia="仿宋" w:hAnsi="仿宋" w:hint="eastAsia"/>
          <w:color w:val="000000"/>
          <w:sz w:val="24"/>
          <w:szCs w:val="24"/>
        </w:rPr>
        <w:t>月</w:t>
      </w:r>
      <w:r>
        <w:rPr>
          <w:rFonts w:ascii="仿宋" w:eastAsia="仿宋" w:hAnsi="仿宋"/>
          <w:color w:val="000000"/>
          <w:sz w:val="24"/>
          <w:szCs w:val="24"/>
        </w:rPr>
        <w:t>25</w:t>
      </w:r>
      <w:r>
        <w:rPr>
          <w:rFonts w:ascii="仿宋" w:eastAsia="仿宋" w:hAnsi="仿宋" w:hint="eastAsia"/>
          <w:color w:val="000000"/>
          <w:sz w:val="24"/>
          <w:szCs w:val="24"/>
        </w:rPr>
        <w:t>日</w:t>
      </w:r>
    </w:p>
    <w:p>
      <w:pPr>
        <w:spacing w:line="360" w:lineRule="exact"/>
        <w:ind w:right="240" w:firstLineChars="100" w:firstLine="240"/>
        <w:jc w:val="right"/>
        <w:rPr>
          <w:rFonts w:ascii="仿宋" w:eastAsia="仿宋" w:hAnsi="仿宋"/>
          <w:color w:val="000000"/>
          <w:sz w:val="24"/>
          <w:szCs w:val="24"/>
        </w:rPr>
      </w:pPr>
    </w:p>
    <w:p>
      <w:pPr>
        <w:spacing w:line="360" w:lineRule="exact"/>
        <w:ind w:right="240" w:firstLineChars="100" w:firstLine="240"/>
        <w:jc w:val="right"/>
        <w:rPr>
          <w:rFonts w:ascii="仿宋" w:eastAsia="仿宋" w:hAnsi="仿宋"/>
          <w:color w:val="000000"/>
          <w:sz w:val="24"/>
          <w:szCs w:val="24"/>
        </w:rPr>
      </w:pPr>
    </w:p>
    <w:p>
      <w:pPr>
        <w:spacing w:line="360" w:lineRule="exact"/>
        <w:ind w:right="240" w:firstLineChars="100" w:firstLine="240"/>
        <w:jc w:val="right"/>
        <w:rPr>
          <w:rFonts w:ascii="仿宋" w:eastAsia="仿宋" w:hAnsi="仿宋"/>
          <w:color w:val="000000"/>
          <w:sz w:val="24"/>
          <w:szCs w:val="24"/>
        </w:rPr>
      </w:pPr>
    </w:p>
    <w:p>
      <w:pPr>
        <w:spacing w:beforeLines="50" w:before="156"/>
        <w:ind w:right="839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附件1  </w:t>
      </w:r>
      <w:r>
        <w:rPr>
          <w:rFonts w:ascii="宋体" w:hAnsi="宋体"/>
          <w:b/>
          <w:sz w:val="28"/>
          <w:szCs w:val="28"/>
        </w:rPr>
        <w:t xml:space="preserve">          </w:t>
      </w:r>
      <w:r>
        <w:rPr>
          <w:rFonts w:ascii="宋体" w:hAnsi="宋体" w:hint="eastAsia"/>
          <w:b/>
          <w:sz w:val="28"/>
          <w:szCs w:val="28"/>
        </w:rPr>
        <w:t>科研或创作、获奖成果清单</w:t>
      </w:r>
    </w:p>
    <w:tbl>
      <w:tblPr>
        <w:tblW w:w="8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54"/>
        <w:gridCol w:w="496"/>
        <w:gridCol w:w="612"/>
        <w:gridCol w:w="752"/>
        <w:gridCol w:w="150"/>
        <w:gridCol w:w="896"/>
        <w:gridCol w:w="425"/>
        <w:gridCol w:w="193"/>
        <w:gridCol w:w="658"/>
        <w:gridCol w:w="567"/>
        <w:gridCol w:w="568"/>
        <w:gridCol w:w="1794"/>
      </w:tblGrid>
      <w:tr>
        <w:trPr>
          <w:trHeight w:val="472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姓名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性别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出生年月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 </w:t>
            </w:r>
          </w:p>
        </w:tc>
      </w:tr>
      <w:tr>
        <w:trPr>
          <w:trHeight w:val="549"/>
          <w:jc w:val="center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本科院校</w:t>
            </w:r>
          </w:p>
        </w:tc>
        <w:tc>
          <w:tcPr>
            <w:tcW w:w="33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外语水平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 </w:t>
            </w:r>
          </w:p>
        </w:tc>
      </w:tr>
      <w:tr>
        <w:trPr>
          <w:cantSplit/>
          <w:trHeight w:val="634"/>
          <w:jc w:val="center"/>
        </w:trPr>
        <w:tc>
          <w:tcPr>
            <w:tcW w:w="8311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科研或创作成果列表</w:t>
            </w:r>
          </w:p>
        </w:tc>
      </w:tr>
      <w:tr>
        <w:trPr>
          <w:trHeight w:val="3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序号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时间</w:t>
            </w:r>
          </w:p>
        </w:tc>
        <w:tc>
          <w:tcPr>
            <w:tcW w:w="30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  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成果名称</w:t>
            </w:r>
          </w:p>
        </w:tc>
        <w:tc>
          <w:tcPr>
            <w:tcW w:w="3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内容简述</w:t>
            </w:r>
          </w:p>
        </w:tc>
      </w:tr>
      <w:tr>
        <w:trPr>
          <w:trHeight w:val="3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0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rPr>
          <w:trHeight w:val="3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0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rPr>
          <w:trHeight w:val="363"/>
          <w:jc w:val="center"/>
        </w:trPr>
        <w:tc>
          <w:tcPr>
            <w:tcW w:w="83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校级及以上获奖</w:t>
            </w:r>
          </w:p>
        </w:tc>
      </w:tr>
      <w:tr>
        <w:trPr>
          <w:trHeight w:val="3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序号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时间</w:t>
            </w:r>
          </w:p>
        </w:tc>
        <w:tc>
          <w:tcPr>
            <w:tcW w:w="1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 </w:t>
            </w:r>
            <w:r>
              <w:rPr>
                <w:rFonts w:ascii="宋体" w:hAnsi="宋体" w:cs="宋体" w:hint="eastAsia"/>
                <w:color w:val="000000"/>
                <w:sz w:val="24"/>
              </w:rPr>
              <w:t>获奖名称</w:t>
            </w:r>
          </w:p>
        </w:tc>
        <w:tc>
          <w:tcPr>
            <w:tcW w:w="1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获奖等级</w:t>
            </w: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颁奖单位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内容简述</w:t>
            </w:r>
          </w:p>
        </w:tc>
      </w:tr>
      <w:tr>
        <w:trPr>
          <w:trHeight w:val="3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rPr>
          <w:trHeight w:val="3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>
      <w:pPr>
        <w:widowControl/>
        <w:ind w:firstLineChars="200" w:firstLine="482"/>
        <w:jc w:val="left"/>
        <w:rPr>
          <w:rFonts w:ascii="宋体" w:hAnsi="宋体"/>
          <w:b/>
          <w:sz w:val="24"/>
          <w:shd w:val="pct15" w:color="auto" w:fill="FFFFFF"/>
        </w:rPr>
      </w:pPr>
      <w:r>
        <w:rPr>
          <w:rFonts w:ascii="宋体" w:hAnsi="宋体" w:hint="eastAsia"/>
          <w:b/>
          <w:sz w:val="24"/>
          <w:shd w:val="pct15" w:color="auto" w:fill="FFFFFF"/>
        </w:rPr>
        <w:t>注：此表结构不可变动，可以增减行数、调整行列宽。</w:t>
      </w:r>
    </w:p>
    <w:p>
      <w:pPr>
        <w:spacing w:line="360" w:lineRule="exact"/>
        <w:ind w:right="240" w:firstLineChars="100" w:firstLine="240"/>
        <w:jc w:val="left"/>
        <w:rPr>
          <w:rFonts w:ascii="仿宋" w:eastAsia="仿宋" w:hAnsi="仿宋"/>
          <w:color w:val="000000"/>
          <w:sz w:val="24"/>
          <w:szCs w:val="24"/>
        </w:rPr>
      </w:pPr>
    </w:p>
    <w:p>
      <w:pPr>
        <w:spacing w:line="360" w:lineRule="exact"/>
        <w:ind w:right="240" w:firstLineChars="100" w:firstLine="240"/>
        <w:jc w:val="right"/>
        <w:rPr>
          <w:rFonts w:ascii="仿宋" w:eastAsia="仿宋" w:hAnsi="仿宋"/>
          <w:color w:val="000000"/>
          <w:sz w:val="24"/>
          <w:szCs w:val="24"/>
        </w:rPr>
      </w:pPr>
    </w:p>
    <w:sectPr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B1EF6"/>
    <w:multiLevelType w:val="hybridMultilevel"/>
    <w:tmpl w:val="C25CB7C6"/>
    <w:lvl w:ilvl="0" w:tplc="63981700">
      <w:start w:val="1"/>
      <w:numFmt w:val="japaneseCounting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abstractNum w:abstractNumId="1" w15:restartNumberingAfterBreak="0">
    <w:nsid w:val="360572CC"/>
    <w:multiLevelType w:val="singleLevel"/>
    <w:tmpl w:val="360572CC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7A98ADA5"/>
    <w:multiLevelType w:val="singleLevel"/>
    <w:tmpl w:val="7A98ADA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0E9940-9137-46BF-9A91-3420B38E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9" w:lineRule="auto"/>
      <w:jc w:val="center"/>
      <w:outlineLvl w:val="0"/>
    </w:pPr>
    <w:rPr>
      <w:rFonts w:ascii="Times New Roman" w:eastAsia="黑体" w:hAnsi="Times New Roman" w:cs="Times New Roman"/>
      <w:b/>
      <w:kern w:val="44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1680" w:hanging="1680"/>
    </w:pPr>
    <w:rPr>
      <w:rFonts w:ascii="Times New Roman" w:eastAsia="宋体" w:hAnsi="Times New Roman" w:cs="Times New Roman"/>
      <w:szCs w:val="20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qFormat/>
    <w:rPr>
      <w:rFonts w:ascii="Times New Roman" w:eastAsia="宋体" w:hAnsi="Times New Roman" w:cs="Times New Roman"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c">
    <w:name w:val="Normal (Web)"/>
    <w:basedOn w:val="a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Pr>
      <w:kern w:val="2"/>
      <w:sz w:val="21"/>
      <w:szCs w:val="22"/>
    </w:rPr>
  </w:style>
  <w:style w:type="table" w:styleId="af">
    <w:name w:val="Table Grid"/>
    <w:basedOn w:val="a1"/>
    <w:uiPriority w:val="3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uiPriority w:val="9"/>
    <w:rPr>
      <w:b/>
      <w:bCs/>
      <w:kern w:val="44"/>
      <w:sz w:val="44"/>
      <w:szCs w:val="44"/>
    </w:rPr>
  </w:style>
  <w:style w:type="character" w:customStyle="1" w:styleId="10">
    <w:name w:val="标题 1 字符"/>
    <w:link w:val="1"/>
    <w:rPr>
      <w:rFonts w:ascii="Times New Roman" w:eastAsia="黑体" w:hAnsi="Times New Roman" w:cs="Times New Roman"/>
      <w:b/>
      <w:kern w:val="44"/>
      <w:sz w:val="36"/>
    </w:rPr>
  </w:style>
  <w:style w:type="character" w:styleId="af0">
    <w:name w:val="Strong"/>
    <w:qFormat/>
    <w:rPr>
      <w:b/>
    </w:rPr>
  </w:style>
  <w:style w:type="character" w:styleId="af1">
    <w:name w:val="Hyperlink"/>
    <w:rPr>
      <w:color w:val="0097CC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457;&#36865;&#33267;&#37038;&#31665;njnuGeo@qq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354</Words>
  <Characters>2023</Characters>
  <Application>Microsoft Office Word</Application>
  <DocSecurity>0</DocSecurity>
  <Lines>16</Lines>
  <Paragraphs>4</Paragraphs>
  <ScaleCrop>false</ScaleCrop>
  <Company>Microsoft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hp</cp:lastModifiedBy>
  <cp:revision>42</cp:revision>
  <cp:lastPrinted>2021-03-23T03:17:00Z</cp:lastPrinted>
  <dcterms:created xsi:type="dcterms:W3CDTF">2021-03-25T02:28:00Z</dcterms:created>
  <dcterms:modified xsi:type="dcterms:W3CDTF">2021-03-26T02:07:00Z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